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F9214" w14:textId="77777777" w:rsidR="001953FC" w:rsidRPr="001953FC" w:rsidRDefault="001953FC" w:rsidP="001953FC">
      <w:pPr>
        <w:spacing w:after="40" w:line="240" w:lineRule="auto"/>
        <w:jc w:val="center"/>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color w:val="1F3864"/>
          <w:kern w:val="0"/>
          <w:sz w:val="32"/>
          <w:szCs w:val="32"/>
          <w:lang w:val="en-VU" w:eastAsia="en-VU"/>
          <w14:ligatures w14:val="none"/>
        </w:rPr>
        <w:t>MONTHLY ACTIVITY REPORT — MAY 2026</w:t>
      </w:r>
    </w:p>
    <w:p w14:paraId="5B03D984" w14:textId="77777777" w:rsidR="001953FC" w:rsidRPr="001953FC" w:rsidRDefault="001953FC" w:rsidP="001953FC">
      <w:pPr>
        <w:pBdr>
          <w:bottom w:val="single" w:sz="8" w:space="4" w:color="2E74B5"/>
        </w:pBdr>
        <w:spacing w:line="240" w:lineRule="auto"/>
        <w:jc w:val="center"/>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i/>
          <w:iCs/>
          <w:color w:val="595959"/>
          <w:kern w:val="0"/>
          <w:sz w:val="21"/>
          <w:szCs w:val="21"/>
          <w:lang w:val="en-VU" w:eastAsia="en-VU"/>
          <w14:ligatures w14:val="none"/>
        </w:rPr>
        <w:t>Pacific Sexual and Gender Diversity Network (PSGDN) · Asia Pacific Regional Learning Hub Small Grant</w:t>
      </w:r>
    </w:p>
    <w:p w14:paraId="3DBC7C0A" w14:textId="77777777" w:rsidR="001953FC" w:rsidRPr="001953FC" w:rsidRDefault="001953FC" w:rsidP="001953FC">
      <w:pPr>
        <w:spacing w:before="220" w:after="100" w:line="240" w:lineRule="auto"/>
        <w:outlineLvl w:val="0"/>
        <w:rPr>
          <w:rFonts w:ascii="Century Gothic" w:eastAsia="Calibri" w:hAnsi="Century Gothic" w:cs="Calibri"/>
          <w:color w:val="2E74B5"/>
          <w:kern w:val="0"/>
          <w:sz w:val="32"/>
          <w:szCs w:val="32"/>
          <w:lang w:val="en-VU" w:eastAsia="en-VU"/>
          <w14:ligatures w14:val="none"/>
        </w:rPr>
      </w:pPr>
      <w:r w:rsidRPr="001953FC">
        <w:rPr>
          <w:rFonts w:ascii="Century Gothic" w:eastAsia="Calibri" w:hAnsi="Century Gothic" w:cs="Calibri"/>
          <w:b/>
          <w:bCs/>
          <w:color w:val="1F3864"/>
          <w:kern w:val="0"/>
          <w:sz w:val="26"/>
          <w:szCs w:val="26"/>
          <w:lang w:val="en-VU" w:eastAsia="en-VU"/>
          <w14:ligatures w14:val="none"/>
        </w:rPr>
        <w:t>1. Project Overview</w:t>
      </w:r>
    </w:p>
    <w:tbl>
      <w:tblPr>
        <w:tblW w:w="10360" w:type="dxa"/>
        <w:tblBorders>
          <w:top w:val="single" w:sz="4" w:space="0" w:color="B9C6DE"/>
          <w:left w:val="single" w:sz="4" w:space="0" w:color="B9C6DE"/>
          <w:bottom w:val="single" w:sz="4" w:space="0" w:color="B9C6DE"/>
          <w:right w:val="single" w:sz="4" w:space="0" w:color="B9C6DE"/>
          <w:insideH w:val="single" w:sz="4" w:space="0" w:color="B9C6DE"/>
          <w:insideV w:val="single" w:sz="4" w:space="0" w:color="B9C6DE"/>
        </w:tblBorders>
        <w:tblCellMar>
          <w:left w:w="10" w:type="dxa"/>
          <w:right w:w="10" w:type="dxa"/>
        </w:tblCellMar>
        <w:tblLook w:val="0000" w:firstRow="0" w:lastRow="0" w:firstColumn="0" w:lastColumn="0" w:noHBand="0" w:noVBand="0"/>
      </w:tblPr>
      <w:tblGrid>
        <w:gridCol w:w="2600"/>
        <w:gridCol w:w="7760"/>
      </w:tblGrid>
      <w:tr w:rsidR="001953FC" w:rsidRPr="001953FC" w14:paraId="1BD913C3" w14:textId="77777777" w:rsidTr="00A33671">
        <w:tblPrEx>
          <w:tblCellMar>
            <w:top w:w="0" w:type="dxa"/>
            <w:bottom w:w="0" w:type="dxa"/>
          </w:tblCellMar>
        </w:tblPrEx>
        <w:tc>
          <w:tcPr>
            <w:tcW w:w="2600" w:type="dxa"/>
            <w:shd w:val="clear" w:color="auto" w:fill="EDF1F8"/>
            <w:tcMar>
              <w:top w:w="60" w:type="dxa"/>
              <w:left w:w="100" w:type="dxa"/>
              <w:bottom w:w="60" w:type="dxa"/>
              <w:right w:w="100" w:type="dxa"/>
            </w:tcMar>
          </w:tcPr>
          <w:p w14:paraId="02EF525F"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0"/>
                <w:szCs w:val="20"/>
                <w:lang w:val="en-VU" w:eastAsia="en-VU"/>
                <w14:ligatures w14:val="none"/>
              </w:rPr>
              <w:t>Project title</w:t>
            </w:r>
          </w:p>
        </w:tc>
        <w:tc>
          <w:tcPr>
            <w:tcW w:w="7760" w:type="dxa"/>
            <w:tcMar>
              <w:top w:w="60" w:type="dxa"/>
              <w:left w:w="100" w:type="dxa"/>
              <w:bottom w:w="60" w:type="dxa"/>
              <w:right w:w="100" w:type="dxa"/>
            </w:tcMar>
          </w:tcPr>
          <w:p w14:paraId="3237A59C"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0"/>
                <w:szCs w:val="20"/>
                <w:lang w:val="en-VU" w:eastAsia="en-VU"/>
                <w14:ligatures w14:val="none"/>
              </w:rPr>
              <w:t>Fiji Islands – Pilot Program for LEN and NSP: Promoting Advocacy and Awareness through a Community-Led Monitoring Framework</w:t>
            </w:r>
          </w:p>
        </w:tc>
      </w:tr>
      <w:tr w:rsidR="001953FC" w:rsidRPr="001953FC" w14:paraId="35541964" w14:textId="77777777" w:rsidTr="00A33671">
        <w:tblPrEx>
          <w:tblCellMar>
            <w:top w:w="0" w:type="dxa"/>
            <w:bottom w:w="0" w:type="dxa"/>
          </w:tblCellMar>
        </w:tblPrEx>
        <w:tc>
          <w:tcPr>
            <w:tcW w:w="2600" w:type="dxa"/>
            <w:shd w:val="clear" w:color="auto" w:fill="EDF1F8"/>
            <w:tcMar>
              <w:top w:w="60" w:type="dxa"/>
              <w:left w:w="100" w:type="dxa"/>
              <w:bottom w:w="60" w:type="dxa"/>
              <w:right w:w="100" w:type="dxa"/>
            </w:tcMar>
          </w:tcPr>
          <w:p w14:paraId="71D7F242"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0"/>
                <w:szCs w:val="20"/>
                <w:lang w:val="en-VU" w:eastAsia="en-VU"/>
                <w14:ligatures w14:val="none"/>
              </w:rPr>
              <w:t>Project partner</w:t>
            </w:r>
          </w:p>
        </w:tc>
        <w:tc>
          <w:tcPr>
            <w:tcW w:w="7760" w:type="dxa"/>
            <w:tcMar>
              <w:top w:w="60" w:type="dxa"/>
              <w:left w:w="100" w:type="dxa"/>
              <w:bottom w:w="60" w:type="dxa"/>
              <w:right w:w="100" w:type="dxa"/>
            </w:tcMar>
          </w:tcPr>
          <w:p w14:paraId="0475C6B1"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0"/>
                <w:szCs w:val="20"/>
                <w:lang w:val="en-VU" w:eastAsia="en-VU"/>
                <w14:ligatures w14:val="none"/>
              </w:rPr>
              <w:t>Pacific Sexual and Gender Diversity Network (PSGDN)</w:t>
            </w:r>
          </w:p>
        </w:tc>
      </w:tr>
      <w:tr w:rsidR="001953FC" w:rsidRPr="001953FC" w14:paraId="43AE53A1" w14:textId="77777777" w:rsidTr="00A33671">
        <w:tblPrEx>
          <w:tblCellMar>
            <w:top w:w="0" w:type="dxa"/>
            <w:bottom w:w="0" w:type="dxa"/>
          </w:tblCellMar>
        </w:tblPrEx>
        <w:tc>
          <w:tcPr>
            <w:tcW w:w="2600" w:type="dxa"/>
            <w:shd w:val="clear" w:color="auto" w:fill="EDF1F8"/>
            <w:tcMar>
              <w:top w:w="60" w:type="dxa"/>
              <w:left w:w="100" w:type="dxa"/>
              <w:bottom w:w="60" w:type="dxa"/>
              <w:right w:w="100" w:type="dxa"/>
            </w:tcMar>
          </w:tcPr>
          <w:p w14:paraId="765EE7CB"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0"/>
                <w:szCs w:val="20"/>
                <w:lang w:val="en-VU" w:eastAsia="en-VU"/>
                <w14:ligatures w14:val="none"/>
              </w:rPr>
              <w:t>Grantor / consortium</w:t>
            </w:r>
          </w:p>
        </w:tc>
        <w:tc>
          <w:tcPr>
            <w:tcW w:w="7760" w:type="dxa"/>
            <w:tcMar>
              <w:top w:w="60" w:type="dxa"/>
              <w:left w:w="100" w:type="dxa"/>
              <w:bottom w:w="60" w:type="dxa"/>
              <w:right w:w="100" w:type="dxa"/>
            </w:tcMar>
          </w:tcPr>
          <w:p w14:paraId="31EF481D"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0"/>
                <w:szCs w:val="20"/>
                <w:lang w:val="en-VU" w:eastAsia="en-VU"/>
                <w14:ligatures w14:val="none"/>
              </w:rPr>
              <w:t>Asia Pacific Transgender Network Foundation (APTN) – Seven Alliance Consortium, Asia Pacific Regional Learning Hub (Sub-Award Ref. SG Learning Hub 2026/07)</w:t>
            </w:r>
          </w:p>
        </w:tc>
      </w:tr>
      <w:tr w:rsidR="001953FC" w:rsidRPr="001953FC" w14:paraId="337BCD3A" w14:textId="77777777" w:rsidTr="00A33671">
        <w:tblPrEx>
          <w:tblCellMar>
            <w:top w:w="0" w:type="dxa"/>
            <w:bottom w:w="0" w:type="dxa"/>
          </w:tblCellMar>
        </w:tblPrEx>
        <w:tc>
          <w:tcPr>
            <w:tcW w:w="2600" w:type="dxa"/>
            <w:shd w:val="clear" w:color="auto" w:fill="EDF1F8"/>
            <w:tcMar>
              <w:top w:w="60" w:type="dxa"/>
              <w:left w:w="100" w:type="dxa"/>
              <w:bottom w:w="60" w:type="dxa"/>
              <w:right w:w="100" w:type="dxa"/>
            </w:tcMar>
          </w:tcPr>
          <w:p w14:paraId="11CB3230"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0"/>
                <w:szCs w:val="20"/>
                <w:lang w:val="en-VU" w:eastAsia="en-VU"/>
                <w14:ligatures w14:val="none"/>
              </w:rPr>
              <w:t>Agreement period</w:t>
            </w:r>
          </w:p>
        </w:tc>
        <w:tc>
          <w:tcPr>
            <w:tcW w:w="7760" w:type="dxa"/>
            <w:tcMar>
              <w:top w:w="60" w:type="dxa"/>
              <w:left w:w="100" w:type="dxa"/>
              <w:bottom w:w="60" w:type="dxa"/>
              <w:right w:w="100" w:type="dxa"/>
            </w:tcMar>
          </w:tcPr>
          <w:p w14:paraId="3B512817"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0"/>
                <w:szCs w:val="20"/>
                <w:lang w:val="en-VU" w:eastAsia="en-VU"/>
                <w14:ligatures w14:val="none"/>
              </w:rPr>
              <w:t>15 May 2026 – 31 July 2026 (fixed amount award: USD 4,800)</w:t>
            </w:r>
          </w:p>
        </w:tc>
      </w:tr>
      <w:tr w:rsidR="001953FC" w:rsidRPr="001953FC" w14:paraId="1FDC4DB9" w14:textId="77777777" w:rsidTr="00A33671">
        <w:tblPrEx>
          <w:tblCellMar>
            <w:top w:w="0" w:type="dxa"/>
            <w:bottom w:w="0" w:type="dxa"/>
          </w:tblCellMar>
        </w:tblPrEx>
        <w:tc>
          <w:tcPr>
            <w:tcW w:w="2600" w:type="dxa"/>
            <w:shd w:val="clear" w:color="auto" w:fill="EDF1F8"/>
            <w:tcMar>
              <w:top w:w="60" w:type="dxa"/>
              <w:left w:w="100" w:type="dxa"/>
              <w:bottom w:w="60" w:type="dxa"/>
              <w:right w:w="100" w:type="dxa"/>
            </w:tcMar>
          </w:tcPr>
          <w:p w14:paraId="2F7CFFDD"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0"/>
                <w:szCs w:val="20"/>
                <w:lang w:val="en-VU" w:eastAsia="en-VU"/>
                <w14:ligatures w14:val="none"/>
              </w:rPr>
              <w:t>Reporting period</w:t>
            </w:r>
          </w:p>
        </w:tc>
        <w:tc>
          <w:tcPr>
            <w:tcW w:w="7760" w:type="dxa"/>
            <w:tcMar>
              <w:top w:w="60" w:type="dxa"/>
              <w:left w:w="100" w:type="dxa"/>
              <w:bottom w:w="60" w:type="dxa"/>
              <w:right w:w="100" w:type="dxa"/>
            </w:tcMar>
          </w:tcPr>
          <w:p w14:paraId="69709A4C"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0"/>
                <w:szCs w:val="20"/>
                <w:lang w:val="en-VU" w:eastAsia="en-VU"/>
                <w14:ligatures w14:val="none"/>
              </w:rPr>
              <w:t>1 – 31 May 2026</w:t>
            </w:r>
          </w:p>
        </w:tc>
      </w:tr>
      <w:tr w:rsidR="001953FC" w:rsidRPr="001953FC" w14:paraId="2EC392C4" w14:textId="77777777" w:rsidTr="00A33671">
        <w:tblPrEx>
          <w:tblCellMar>
            <w:top w:w="0" w:type="dxa"/>
            <w:bottom w:w="0" w:type="dxa"/>
          </w:tblCellMar>
        </w:tblPrEx>
        <w:tc>
          <w:tcPr>
            <w:tcW w:w="2600" w:type="dxa"/>
            <w:shd w:val="clear" w:color="auto" w:fill="EDF1F8"/>
            <w:tcMar>
              <w:top w:w="60" w:type="dxa"/>
              <w:left w:w="100" w:type="dxa"/>
              <w:bottom w:w="60" w:type="dxa"/>
              <w:right w:w="100" w:type="dxa"/>
            </w:tcMar>
          </w:tcPr>
          <w:p w14:paraId="619E6C33"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0"/>
                <w:szCs w:val="20"/>
                <w:lang w:val="en-VU" w:eastAsia="en-VU"/>
                <w14:ligatures w14:val="none"/>
              </w:rPr>
              <w:t>Focal point</w:t>
            </w:r>
          </w:p>
        </w:tc>
        <w:tc>
          <w:tcPr>
            <w:tcW w:w="7760" w:type="dxa"/>
            <w:tcMar>
              <w:top w:w="60" w:type="dxa"/>
              <w:left w:w="100" w:type="dxa"/>
              <w:bottom w:w="60" w:type="dxa"/>
              <w:right w:w="100" w:type="dxa"/>
            </w:tcMar>
          </w:tcPr>
          <w:p w14:paraId="15A9D0FF"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0"/>
                <w:szCs w:val="20"/>
                <w:lang w:val="en-VU" w:eastAsia="en-VU"/>
                <w14:ligatures w14:val="none"/>
              </w:rPr>
              <w:t>Gillio (GiGi) Baxter, LGBTIQ Representative, PIRMCCM</w:t>
            </w:r>
          </w:p>
        </w:tc>
      </w:tr>
    </w:tbl>
    <w:p w14:paraId="1FE231A9" w14:textId="77777777" w:rsidR="001953FC" w:rsidRPr="001953FC" w:rsidRDefault="001953FC" w:rsidP="001953FC">
      <w:pPr>
        <w:spacing w:after="60" w:line="240" w:lineRule="auto"/>
        <w:rPr>
          <w:rFonts w:ascii="Century Gothic" w:eastAsia="Calibri" w:hAnsi="Century Gothic" w:cs="Calibri"/>
          <w:kern w:val="0"/>
          <w:sz w:val="21"/>
          <w:szCs w:val="21"/>
          <w:lang w:val="en-VU" w:eastAsia="en-VU"/>
          <w14:ligatures w14:val="none"/>
        </w:rPr>
      </w:pPr>
    </w:p>
    <w:p w14:paraId="4397ECAC" w14:textId="77777777" w:rsidR="001953FC" w:rsidRPr="001953FC" w:rsidRDefault="001953FC" w:rsidP="001953FC">
      <w:pPr>
        <w:spacing w:after="10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1"/>
          <w:szCs w:val="21"/>
          <w:lang w:val="en-VU" w:eastAsia="en-VU"/>
          <w14:ligatures w14:val="none"/>
        </w:rPr>
        <w:t xml:space="preserve">This pilot project responds to the alarming rise in HIV cases in Fiji, the central hub of the Pacific, by driving advocacy and awareness for two high-impact prevention interventions — long-acting injectable Lenacapavir (LEN) and Needle and Syringe Programs (NSP) — through a community-led monitoring framework. The project targets LGBTIQ individuals, sex workers, and young people who use drugs, working through </w:t>
      </w:r>
      <w:proofErr w:type="spellStart"/>
      <w:r w:rsidRPr="001953FC">
        <w:rPr>
          <w:rFonts w:ascii="Century Gothic" w:eastAsia="Calibri" w:hAnsi="Century Gothic" w:cs="Calibri"/>
          <w:kern w:val="0"/>
          <w:sz w:val="21"/>
          <w:szCs w:val="21"/>
          <w:lang w:val="en-VU" w:eastAsia="en-VU"/>
          <w14:ligatures w14:val="none"/>
        </w:rPr>
        <w:t>PSGDN’s</w:t>
      </w:r>
      <w:proofErr w:type="spellEnd"/>
      <w:r w:rsidRPr="001953FC">
        <w:rPr>
          <w:rFonts w:ascii="Century Gothic" w:eastAsia="Calibri" w:hAnsi="Century Gothic" w:cs="Calibri"/>
          <w:kern w:val="0"/>
          <w:sz w:val="21"/>
          <w:szCs w:val="21"/>
          <w:lang w:val="en-VU" w:eastAsia="en-VU"/>
          <w14:ligatures w14:val="none"/>
        </w:rPr>
        <w:t xml:space="preserve"> constituency organisations (FJN+, Rainbow Pride Fiji, TAAG, and SAN Fiji) in partnership with the Ministry of Health and Medical Services, UNAIDS, and technical partners. Insights generated by the project directly inform the PIRMCCM Grant Cycle 8 (GC8) funding request to the Global Fund, ahead of the country submission window of 27 July 2026. May 2026 was the project’s inception and principal consultation month.</w:t>
      </w:r>
    </w:p>
    <w:p w14:paraId="365F58E1" w14:textId="77777777" w:rsidR="001953FC" w:rsidRPr="001953FC" w:rsidRDefault="001953FC" w:rsidP="001953FC">
      <w:pPr>
        <w:spacing w:before="220" w:after="100" w:line="240" w:lineRule="auto"/>
        <w:outlineLvl w:val="0"/>
        <w:rPr>
          <w:rFonts w:ascii="Century Gothic" w:eastAsia="Calibri" w:hAnsi="Century Gothic" w:cs="Calibri"/>
          <w:color w:val="2E74B5"/>
          <w:kern w:val="0"/>
          <w:sz w:val="32"/>
          <w:szCs w:val="32"/>
          <w:lang w:val="en-VU" w:eastAsia="en-VU"/>
          <w14:ligatures w14:val="none"/>
        </w:rPr>
      </w:pPr>
      <w:r w:rsidRPr="001953FC">
        <w:rPr>
          <w:rFonts w:ascii="Century Gothic" w:eastAsia="Calibri" w:hAnsi="Century Gothic" w:cs="Calibri"/>
          <w:b/>
          <w:bCs/>
          <w:color w:val="1F3864"/>
          <w:kern w:val="0"/>
          <w:sz w:val="26"/>
          <w:szCs w:val="26"/>
          <w:lang w:val="en-VU" w:eastAsia="en-VU"/>
          <w14:ligatures w14:val="none"/>
        </w:rPr>
        <w:t>2. Key Milestones Achieved</w:t>
      </w:r>
    </w:p>
    <w:p w14:paraId="02E173C7"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Agreement and inception: </w:t>
      </w:r>
      <w:r w:rsidRPr="001953FC">
        <w:rPr>
          <w:rFonts w:ascii="Century Gothic" w:eastAsia="Calibri" w:hAnsi="Century Gothic" w:cs="Calibri"/>
          <w:kern w:val="0"/>
          <w:sz w:val="21"/>
          <w:szCs w:val="21"/>
          <w:lang w:val="en-VU" w:eastAsia="en-VU"/>
          <w14:ligatures w14:val="none"/>
        </w:rPr>
        <w:t>The Sub-Award Agreement between PSGDN and APTN was executed on 15 May 2026, with the updated TA request and budget (USD 4,800) annexed as the approved work plan, and the first tranche (70%) released against it.</w:t>
      </w:r>
    </w:p>
    <w:p w14:paraId="1E234A13"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GC7 rapid review: </w:t>
      </w:r>
      <w:r w:rsidRPr="001953FC">
        <w:rPr>
          <w:rFonts w:ascii="Century Gothic" w:eastAsia="Calibri" w:hAnsi="Century Gothic" w:cs="Calibri"/>
          <w:kern w:val="0"/>
          <w:sz w:val="21"/>
          <w:szCs w:val="21"/>
          <w:lang w:val="en-VU" w:eastAsia="en-VU"/>
          <w14:ligatures w14:val="none"/>
        </w:rPr>
        <w:t>A rapid review of GC7 grants and programs, focused on the PSGDN–ASHM capacity-building partnership, was completed through desk review and virtual consultations and presented to Suva-based PSGDN members on 24 May 2026.</w:t>
      </w:r>
    </w:p>
    <w:p w14:paraId="4ADD77E5"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GC8 consultation delivered: </w:t>
      </w:r>
      <w:r w:rsidRPr="001953FC">
        <w:rPr>
          <w:rFonts w:ascii="Century Gothic" w:eastAsia="Calibri" w:hAnsi="Century Gothic" w:cs="Calibri"/>
          <w:kern w:val="0"/>
          <w:sz w:val="21"/>
          <w:szCs w:val="21"/>
          <w:lang w:val="en-VU" w:eastAsia="en-VU"/>
          <w14:ligatures w14:val="none"/>
        </w:rPr>
        <w:t xml:space="preserve">The civil society consultation for GC8 was convened in May 2026, and the </w:t>
      </w:r>
      <w:proofErr w:type="spellStart"/>
      <w:r w:rsidRPr="001953FC">
        <w:rPr>
          <w:rFonts w:ascii="Century Gothic" w:eastAsia="Calibri" w:hAnsi="Century Gothic" w:cs="Calibri"/>
          <w:kern w:val="0"/>
          <w:sz w:val="21"/>
          <w:szCs w:val="21"/>
          <w:lang w:val="en-VU" w:eastAsia="en-VU"/>
          <w14:ligatures w14:val="none"/>
        </w:rPr>
        <w:t>PrEP</w:t>
      </w:r>
      <w:proofErr w:type="spellEnd"/>
      <w:r w:rsidRPr="001953FC">
        <w:rPr>
          <w:rFonts w:ascii="Century Gothic" w:eastAsia="Calibri" w:hAnsi="Century Gothic" w:cs="Calibri"/>
          <w:kern w:val="0"/>
          <w:sz w:val="21"/>
          <w:szCs w:val="21"/>
          <w:lang w:val="en-VU" w:eastAsia="en-VU"/>
          <w14:ligatures w14:val="none"/>
        </w:rPr>
        <w:t xml:space="preserve"> Community Stream Meeting was held in Suva on 26 May 2026, bringing together MOHMS, UNAIDS, WHO, UNDP, UNSW, and a broad CSO coalition. The meeting coincided with Fiji’s milestone as the first Pacific Island country to introduce oral </w:t>
      </w:r>
      <w:proofErr w:type="spellStart"/>
      <w:r w:rsidRPr="001953FC">
        <w:rPr>
          <w:rFonts w:ascii="Century Gothic" w:eastAsia="Calibri" w:hAnsi="Century Gothic" w:cs="Calibri"/>
          <w:kern w:val="0"/>
          <w:sz w:val="21"/>
          <w:szCs w:val="21"/>
          <w:lang w:val="en-VU" w:eastAsia="en-VU"/>
          <w14:ligatures w14:val="none"/>
        </w:rPr>
        <w:t>PrEP</w:t>
      </w:r>
      <w:proofErr w:type="spellEnd"/>
      <w:r w:rsidRPr="001953FC">
        <w:rPr>
          <w:rFonts w:ascii="Century Gothic" w:eastAsia="Calibri" w:hAnsi="Century Gothic" w:cs="Calibri"/>
          <w:kern w:val="0"/>
          <w:sz w:val="21"/>
          <w:szCs w:val="21"/>
          <w:lang w:val="en-VU" w:eastAsia="en-VU"/>
          <w14:ligatures w14:val="none"/>
        </w:rPr>
        <w:t>, with 11 individuals initiated.</w:t>
      </w:r>
    </w:p>
    <w:p w14:paraId="2D4D777D"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Consultation report drafted: </w:t>
      </w:r>
      <w:r w:rsidRPr="001953FC">
        <w:rPr>
          <w:rFonts w:ascii="Century Gothic" w:eastAsia="Calibri" w:hAnsi="Century Gothic" w:cs="Calibri"/>
          <w:kern w:val="0"/>
          <w:sz w:val="21"/>
          <w:szCs w:val="21"/>
          <w:lang w:val="en-VU" w:eastAsia="en-VU"/>
          <w14:ligatures w14:val="none"/>
        </w:rPr>
        <w:t>The draft report, "CSO Voices for the Final Mile," was produced and presented to PIRMCCM. It documents a prioritised list of community priorities across five key population groups, multi-country consultation findings (Samoa, Vanuatu, Tuvalu), the Lost to Follow-Up (LTFU) crisis in Fiji, an agreed action plan, and six formal commitments sought from PIRMCCM and the Global Fund — including Lenacapavir readiness as a named GC8 investment area.</w:t>
      </w:r>
    </w:p>
    <w:p w14:paraId="0FEDD473"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Stakeholder alignment and grant-making input: </w:t>
      </w:r>
      <w:r w:rsidRPr="001953FC">
        <w:rPr>
          <w:rFonts w:ascii="Century Gothic" w:eastAsia="Calibri" w:hAnsi="Century Gothic" w:cs="Calibri"/>
          <w:kern w:val="0"/>
          <w:sz w:val="21"/>
          <w:szCs w:val="21"/>
          <w:lang w:val="en-VU" w:eastAsia="en-VU"/>
          <w14:ligatures w14:val="none"/>
        </w:rPr>
        <w:t>Stakeholder alignment was advanced with Dr Jason Mitchell (HIV Program Director, Fiji) on deliverables and process for the government-led GC8 workstream, and review of GC8 grant-making documents commenced with consolidated CSO comments.</w:t>
      </w:r>
    </w:p>
    <w:p w14:paraId="31FBF1AE" w14:textId="77777777" w:rsidR="001953FC" w:rsidRPr="001953FC" w:rsidRDefault="001953FC" w:rsidP="001953FC">
      <w:pPr>
        <w:spacing w:before="220" w:after="100" w:line="240" w:lineRule="auto"/>
        <w:outlineLvl w:val="0"/>
        <w:rPr>
          <w:rFonts w:ascii="Century Gothic" w:eastAsia="Calibri" w:hAnsi="Century Gothic" w:cs="Calibri"/>
          <w:color w:val="2E74B5"/>
          <w:kern w:val="0"/>
          <w:sz w:val="32"/>
          <w:szCs w:val="32"/>
          <w:lang w:val="en-VU" w:eastAsia="en-VU"/>
          <w14:ligatures w14:val="none"/>
        </w:rPr>
      </w:pPr>
      <w:r w:rsidRPr="001953FC">
        <w:rPr>
          <w:rFonts w:ascii="Century Gothic" w:eastAsia="Calibri" w:hAnsi="Century Gothic" w:cs="Calibri"/>
          <w:b/>
          <w:bCs/>
          <w:color w:val="1F3864"/>
          <w:kern w:val="0"/>
          <w:sz w:val="26"/>
          <w:szCs w:val="26"/>
          <w:lang w:val="en-VU" w:eastAsia="en-VU"/>
          <w14:ligatures w14:val="none"/>
        </w:rPr>
        <w:lastRenderedPageBreak/>
        <w:t>3. Challenges Faced</w:t>
      </w:r>
    </w:p>
    <w:p w14:paraId="29737901"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Compressed timeline: </w:t>
      </w:r>
      <w:r w:rsidRPr="001953FC">
        <w:rPr>
          <w:rFonts w:ascii="Century Gothic" w:eastAsia="Calibri" w:hAnsi="Century Gothic" w:cs="Calibri"/>
          <w:kern w:val="0"/>
          <w:sz w:val="21"/>
          <w:szCs w:val="21"/>
          <w:lang w:val="en-VU" w:eastAsia="en-VU"/>
          <w14:ligatures w14:val="none"/>
        </w:rPr>
        <w:t>The agreement was executed on 15 May 2026, later than the envisaged 27 April start, compressing inception, the GC7 review, and the consultation into a three-week window before the 26 May Community Stream Meeting.</w:t>
      </w:r>
    </w:p>
    <w:p w14:paraId="4DF5D834"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Country data gaps: </w:t>
      </w:r>
      <w:r w:rsidRPr="001953FC">
        <w:rPr>
          <w:rFonts w:ascii="Century Gothic" w:eastAsia="Calibri" w:hAnsi="Century Gothic" w:cs="Calibri"/>
          <w:kern w:val="0"/>
          <w:sz w:val="21"/>
          <w:szCs w:val="21"/>
          <w:lang w:val="en-VU" w:eastAsia="en-VU"/>
          <w14:ligatures w14:val="none"/>
        </w:rPr>
        <w:t>No completed national consultation questionnaire was received from Kiribati, and Tonga’s submission could not be finalised in time; both are flagged in the report as data gaps requiring dedicated, resourced follow-up (translation, remote facilitation, and extended timeframes for limited-connectivity contexts).</w:t>
      </w:r>
    </w:p>
    <w:p w14:paraId="6B742F9C"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Stigma and confidentiality: </w:t>
      </w:r>
      <w:r w:rsidRPr="001953FC">
        <w:rPr>
          <w:rFonts w:ascii="Century Gothic" w:eastAsia="Calibri" w:hAnsi="Century Gothic" w:cs="Calibri"/>
          <w:kern w:val="0"/>
          <w:sz w:val="21"/>
          <w:szCs w:val="21"/>
          <w:lang w:val="en-VU" w:eastAsia="en-VU"/>
          <w14:ligatures w14:val="none"/>
        </w:rPr>
        <w:t>Participants reported stigma, confidentiality concerns, and gatekeeping when accessing HIV services, which also affects willingness to speak openly in consultations; safe, community-led facilitation and anonymised inputs were required to secure candid feedback.</w:t>
      </w:r>
    </w:p>
    <w:p w14:paraId="63536303"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Logistics and budget: </w:t>
      </w:r>
      <w:r w:rsidRPr="001953FC">
        <w:rPr>
          <w:rFonts w:ascii="Century Gothic" w:eastAsia="Calibri" w:hAnsi="Century Gothic" w:cs="Calibri"/>
          <w:kern w:val="0"/>
          <w:sz w:val="21"/>
          <w:szCs w:val="21"/>
          <w:lang w:val="en-VU" w:eastAsia="en-VU"/>
          <w14:ligatures w14:val="none"/>
        </w:rPr>
        <w:t>Connectivity constraints and time-zone spread across Pacific member countries complicated virtual consultations, and the fixed budget required careful sequencing of stipends, connectivity, and in-person findings-sharing costs.</w:t>
      </w:r>
    </w:p>
    <w:p w14:paraId="110A674C" w14:textId="77777777" w:rsidR="001953FC" w:rsidRPr="001953FC" w:rsidRDefault="001953FC" w:rsidP="001953FC">
      <w:pPr>
        <w:spacing w:before="220" w:after="100" w:line="240" w:lineRule="auto"/>
        <w:outlineLvl w:val="0"/>
        <w:rPr>
          <w:rFonts w:ascii="Century Gothic" w:eastAsia="Calibri" w:hAnsi="Century Gothic" w:cs="Calibri"/>
          <w:color w:val="2E74B5"/>
          <w:kern w:val="0"/>
          <w:sz w:val="32"/>
          <w:szCs w:val="32"/>
          <w:lang w:val="en-VU" w:eastAsia="en-VU"/>
          <w14:ligatures w14:val="none"/>
        </w:rPr>
      </w:pPr>
      <w:r w:rsidRPr="001953FC">
        <w:rPr>
          <w:rFonts w:ascii="Century Gothic" w:eastAsia="Calibri" w:hAnsi="Century Gothic" w:cs="Calibri"/>
          <w:b/>
          <w:bCs/>
          <w:color w:val="1F3864"/>
          <w:kern w:val="0"/>
          <w:sz w:val="26"/>
          <w:szCs w:val="26"/>
          <w:lang w:val="en-VU" w:eastAsia="en-VU"/>
          <w14:ligatures w14:val="none"/>
        </w:rPr>
        <w:t>4. Lessons Learned</w:t>
      </w:r>
    </w:p>
    <w:p w14:paraId="57299617"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Community leadership works: </w:t>
      </w:r>
      <w:r w:rsidRPr="001953FC">
        <w:rPr>
          <w:rFonts w:ascii="Century Gothic" w:eastAsia="Calibri" w:hAnsi="Century Gothic" w:cs="Calibri"/>
          <w:kern w:val="0"/>
          <w:sz w:val="21"/>
          <w:szCs w:val="21"/>
          <w:lang w:val="en-VU" w:eastAsia="en-VU"/>
          <w14:ligatures w14:val="none"/>
        </w:rPr>
        <w:t>Community-led consultation generates evidence that institutional processes cannot: the barriers identified (awareness gaps, vernacular-language needs, stigma in clinical settings, physical access) came directly from key population voices and have materially shaped the GC8 priorities.</w:t>
      </w:r>
    </w:p>
    <w:p w14:paraId="716FD522"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Partnership from day one: </w:t>
      </w:r>
      <w:r w:rsidRPr="001953FC">
        <w:rPr>
          <w:rFonts w:ascii="Century Gothic" w:eastAsia="Calibri" w:hAnsi="Century Gothic" w:cs="Calibri"/>
          <w:kern w:val="0"/>
          <w:sz w:val="21"/>
          <w:szCs w:val="21"/>
          <w:lang w:val="en-VU" w:eastAsia="en-VU"/>
          <w14:ligatures w14:val="none"/>
        </w:rPr>
        <w:t>Early co-convening with MOHMS, UNAIDS, WHO, UNDP, and UNSW built alignment and credibility, and secured commitments (for example, faith and traditional leader engagement) that a CSO-only process could not have achieved.</w:t>
      </w:r>
    </w:p>
    <w:p w14:paraId="6A505EF4"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Data invisibility drives underfunding: </w:t>
      </w:r>
      <w:r w:rsidRPr="001953FC">
        <w:rPr>
          <w:rFonts w:ascii="Century Gothic" w:eastAsia="Calibri" w:hAnsi="Century Gothic" w:cs="Calibri"/>
          <w:kern w:val="0"/>
          <w:sz w:val="21"/>
          <w:szCs w:val="21"/>
          <w:lang w:val="en-VU" w:eastAsia="en-VU"/>
          <w14:ligatures w14:val="none"/>
        </w:rPr>
        <w:t>Samoa’s census experience and the Tonga/Kiribati gaps confirm that populations invisible in data systems become invisible in budgets; disaggregated data collection by gender identity must be built into all GC8-funded programming.</w:t>
      </w:r>
    </w:p>
    <w:p w14:paraId="28579C2C"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21"/>
          <w:szCs w:val="21"/>
          <w:lang w:val="en-VU" w:eastAsia="en-VU"/>
          <w14:ligatures w14:val="none"/>
        </w:rPr>
        <w:t xml:space="preserve">Proportionate processes: </w:t>
      </w:r>
      <w:r w:rsidRPr="001953FC">
        <w:rPr>
          <w:rFonts w:ascii="Century Gothic" w:eastAsia="Calibri" w:hAnsi="Century Gothic" w:cs="Calibri"/>
          <w:kern w:val="0"/>
          <w:sz w:val="21"/>
          <w:szCs w:val="21"/>
          <w:lang w:val="en-VU" w:eastAsia="en-VU"/>
          <w14:ligatures w14:val="none"/>
        </w:rPr>
        <w:t xml:space="preserve">Small island contexts need simplified reporting templates, reduced administrative barriers, and flexible facilitation if smaller, lower-capacity </w:t>
      </w:r>
      <w:proofErr w:type="spellStart"/>
      <w:r w:rsidRPr="001953FC">
        <w:rPr>
          <w:rFonts w:ascii="Century Gothic" w:eastAsia="Calibri" w:hAnsi="Century Gothic" w:cs="Calibri"/>
          <w:kern w:val="0"/>
          <w:sz w:val="21"/>
          <w:szCs w:val="21"/>
          <w:lang w:val="en-VU" w:eastAsia="en-VU"/>
          <w14:ligatures w14:val="none"/>
        </w:rPr>
        <w:t>CSOs</w:t>
      </w:r>
      <w:proofErr w:type="spellEnd"/>
      <w:r w:rsidRPr="001953FC">
        <w:rPr>
          <w:rFonts w:ascii="Century Gothic" w:eastAsia="Calibri" w:hAnsi="Century Gothic" w:cs="Calibri"/>
          <w:kern w:val="0"/>
          <w:sz w:val="21"/>
          <w:szCs w:val="21"/>
          <w:lang w:val="en-VU" w:eastAsia="en-VU"/>
          <w14:ligatures w14:val="none"/>
        </w:rPr>
        <w:t xml:space="preserve"> are to participate meaningfully in Global Fund processes.</w:t>
      </w:r>
    </w:p>
    <w:p w14:paraId="440EFC2E" w14:textId="77777777" w:rsidR="001953FC" w:rsidRPr="001953FC" w:rsidRDefault="001953FC" w:rsidP="001953FC">
      <w:pPr>
        <w:spacing w:before="220" w:after="100" w:line="240" w:lineRule="auto"/>
        <w:outlineLvl w:val="0"/>
        <w:rPr>
          <w:rFonts w:ascii="Century Gothic" w:eastAsia="Calibri" w:hAnsi="Century Gothic" w:cs="Calibri"/>
          <w:color w:val="2E74B5"/>
          <w:kern w:val="0"/>
          <w:sz w:val="32"/>
          <w:szCs w:val="32"/>
          <w:lang w:val="en-VU" w:eastAsia="en-VU"/>
          <w14:ligatures w14:val="none"/>
        </w:rPr>
      </w:pPr>
      <w:r w:rsidRPr="001953FC">
        <w:rPr>
          <w:rFonts w:ascii="Century Gothic" w:eastAsia="Calibri" w:hAnsi="Century Gothic" w:cs="Calibri"/>
          <w:b/>
          <w:bCs/>
          <w:color w:val="1F3864"/>
          <w:kern w:val="0"/>
          <w:sz w:val="26"/>
          <w:szCs w:val="26"/>
          <w:lang w:val="en-VU" w:eastAsia="en-VU"/>
          <w14:ligatures w14:val="none"/>
        </w:rPr>
        <w:t>5. Next Steps (June – July 2026)</w:t>
      </w:r>
    </w:p>
    <w:p w14:paraId="0DED5365"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1"/>
          <w:szCs w:val="21"/>
          <w:lang w:val="en-VU" w:eastAsia="en-VU"/>
          <w14:ligatures w14:val="none"/>
        </w:rPr>
        <w:t xml:space="preserve">Finalise and validate the consultation report, incorporating the 26 May </w:t>
      </w:r>
      <w:proofErr w:type="spellStart"/>
      <w:r w:rsidRPr="001953FC">
        <w:rPr>
          <w:rFonts w:ascii="Century Gothic" w:eastAsia="Calibri" w:hAnsi="Century Gothic" w:cs="Calibri"/>
          <w:kern w:val="0"/>
          <w:sz w:val="21"/>
          <w:szCs w:val="21"/>
          <w:lang w:val="en-VU" w:eastAsia="en-VU"/>
          <w14:ligatures w14:val="none"/>
        </w:rPr>
        <w:t>PrEP</w:t>
      </w:r>
      <w:proofErr w:type="spellEnd"/>
      <w:r w:rsidRPr="001953FC">
        <w:rPr>
          <w:rFonts w:ascii="Century Gothic" w:eastAsia="Calibri" w:hAnsi="Century Gothic" w:cs="Calibri"/>
          <w:kern w:val="0"/>
          <w:sz w:val="21"/>
          <w:szCs w:val="21"/>
          <w:lang w:val="en-VU" w:eastAsia="en-VU"/>
          <w14:ligatures w14:val="none"/>
        </w:rPr>
        <w:t xml:space="preserve"> Community Stream minutes and stakeholder comments, and circulate the endorsed version to PIRMCCM, MOHMS, UNAIDS, and CSO partners (June 2026).</w:t>
      </w:r>
    </w:p>
    <w:p w14:paraId="64A505A2"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1"/>
          <w:szCs w:val="21"/>
          <w:lang w:val="en-VU" w:eastAsia="en-VU"/>
          <w14:ligatures w14:val="none"/>
        </w:rPr>
        <w:t>Continue review of, and comments on, GC8 grant-making documents so that community priorities — including CSO SR/sub-SR access, ring-fenced community budgets, LTFU response, and LEN readiness — are reflected in the funding request ahead of the 27 July 2026 submission window.</w:t>
      </w:r>
    </w:p>
    <w:p w14:paraId="29D5FDAE"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1"/>
          <w:szCs w:val="21"/>
          <w:lang w:val="en-VU" w:eastAsia="en-VU"/>
          <w14:ligatures w14:val="none"/>
        </w:rPr>
        <w:t>Pursue the dedicated Tonga TG/MSM needs assessment and resourced Kiribati consultation flagged in the report, so both countries’ key population needs enter the regional proposal.</w:t>
      </w:r>
    </w:p>
    <w:p w14:paraId="1171D049"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1"/>
          <w:szCs w:val="21"/>
          <w:lang w:val="en-VU" w:eastAsia="en-VU"/>
          <w14:ligatures w14:val="none"/>
        </w:rPr>
        <w:t>Prepare and deliver the briefing slides for communities on the final grant-making outcome (modules, interventions, budgets) by 25 July 2026.</w:t>
      </w:r>
    </w:p>
    <w:p w14:paraId="56502C5A" w14:textId="77777777" w:rsidR="001953FC" w:rsidRPr="001953FC" w:rsidRDefault="001953FC" w:rsidP="001953FC">
      <w:pPr>
        <w:numPr>
          <w:ilvl w:val="0"/>
          <w:numId w:val="1"/>
        </w:numPr>
        <w:spacing w:after="6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1"/>
          <w:szCs w:val="21"/>
          <w:lang w:val="en-VU" w:eastAsia="en-VU"/>
          <w14:ligatures w14:val="none"/>
        </w:rPr>
        <w:t>Submit the final narrative and financial report to APTN by project close (31 July 2026) to support review and release of the final 30% payment, and maintain monthly check-in calls with the APTN project team.</w:t>
      </w:r>
    </w:p>
    <w:p w14:paraId="5CC25C80"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1"/>
          <w:szCs w:val="21"/>
          <w:lang w:val="en-VU" w:eastAsia="en-VU"/>
          <w14:ligatures w14:val="none"/>
        </w:rPr>
        <w:br w:type="page"/>
      </w:r>
    </w:p>
    <w:p w14:paraId="2763723E"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color w:val="1F3864"/>
          <w:kern w:val="0"/>
          <w:sz w:val="26"/>
          <w:szCs w:val="26"/>
          <w:lang w:val="en-VU" w:eastAsia="en-VU"/>
          <w14:ligatures w14:val="none"/>
        </w:rPr>
        <w:lastRenderedPageBreak/>
        <w:t>ANNEX: SUMMARY OF FINAL OUTPUTS / DELIVERABLES (PER PROPOSAL / TOR)</w:t>
      </w:r>
    </w:p>
    <w:p w14:paraId="2D2282E6" w14:textId="77777777" w:rsidR="001953FC" w:rsidRPr="001953FC" w:rsidRDefault="001953FC" w:rsidP="001953FC">
      <w:pPr>
        <w:spacing w:after="140" w:line="252" w:lineRule="auto"/>
        <w:jc w:val="both"/>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21"/>
          <w:szCs w:val="21"/>
          <w:lang w:val="en-VU" w:eastAsia="en-VU"/>
          <w14:ligatures w14:val="none"/>
        </w:rPr>
        <w:t>The table below summarises all key deliverables set out in the Small Grant Request Form (Section 2.2) and the Sub-Award Agreement work plan, the specific outcome achieved under each task as at the end of the reporting period, and whether each output has been shared with stakeholders. It is provided to facilitate the review for final payment and the effective utilisation of the deliverables.</w:t>
      </w:r>
    </w:p>
    <w:tbl>
      <w:tblPr>
        <w:tblW w:w="10360" w:type="dxa"/>
        <w:tblBorders>
          <w:top w:val="single" w:sz="4" w:space="0" w:color="B9C6DE"/>
          <w:left w:val="single" w:sz="4" w:space="0" w:color="B9C6DE"/>
          <w:bottom w:val="single" w:sz="4" w:space="0" w:color="B9C6DE"/>
          <w:right w:val="single" w:sz="4" w:space="0" w:color="B9C6DE"/>
          <w:insideH w:val="single" w:sz="4" w:space="0" w:color="B9C6DE"/>
          <w:insideV w:val="single" w:sz="4" w:space="0" w:color="B9C6DE"/>
        </w:tblBorders>
        <w:tblCellMar>
          <w:left w:w="10" w:type="dxa"/>
          <w:right w:w="10" w:type="dxa"/>
        </w:tblCellMar>
        <w:tblLook w:val="0000" w:firstRow="0" w:lastRow="0" w:firstColumn="0" w:lastColumn="0" w:noHBand="0" w:noVBand="0"/>
      </w:tblPr>
      <w:tblGrid>
        <w:gridCol w:w="2400"/>
        <w:gridCol w:w="5160"/>
        <w:gridCol w:w="2800"/>
      </w:tblGrid>
      <w:tr w:rsidR="001953FC" w:rsidRPr="001953FC" w14:paraId="1CD13C2B" w14:textId="77777777" w:rsidTr="00A33671">
        <w:tblPrEx>
          <w:tblCellMar>
            <w:top w:w="0" w:type="dxa"/>
            <w:bottom w:w="0" w:type="dxa"/>
          </w:tblCellMar>
        </w:tblPrEx>
        <w:trPr>
          <w:tblHeader/>
        </w:trPr>
        <w:tc>
          <w:tcPr>
            <w:tcW w:w="2400" w:type="dxa"/>
            <w:shd w:val="clear" w:color="auto" w:fill="1F3864"/>
            <w:tcMar>
              <w:top w:w="70" w:type="dxa"/>
              <w:left w:w="100" w:type="dxa"/>
              <w:bottom w:w="70" w:type="dxa"/>
              <w:right w:w="100" w:type="dxa"/>
            </w:tcMar>
          </w:tcPr>
          <w:p w14:paraId="20048B3F"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color w:val="FFFFFF"/>
                <w:kern w:val="0"/>
                <w:sz w:val="20"/>
                <w:szCs w:val="20"/>
                <w:lang w:val="en-VU" w:eastAsia="en-VU"/>
                <w14:ligatures w14:val="none"/>
              </w:rPr>
              <w:t>Deliverable (per TOR)</w:t>
            </w:r>
          </w:p>
        </w:tc>
        <w:tc>
          <w:tcPr>
            <w:tcW w:w="5160" w:type="dxa"/>
            <w:shd w:val="clear" w:color="auto" w:fill="1F3864"/>
            <w:tcMar>
              <w:top w:w="70" w:type="dxa"/>
              <w:left w:w="100" w:type="dxa"/>
              <w:bottom w:w="70" w:type="dxa"/>
              <w:right w:w="100" w:type="dxa"/>
            </w:tcMar>
          </w:tcPr>
          <w:p w14:paraId="695EB39F"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color w:val="FFFFFF"/>
                <w:kern w:val="0"/>
                <w:sz w:val="20"/>
                <w:szCs w:val="20"/>
                <w:lang w:val="en-VU" w:eastAsia="en-VU"/>
                <w14:ligatures w14:val="none"/>
              </w:rPr>
              <w:t>Specific outcome from the task</w:t>
            </w:r>
          </w:p>
        </w:tc>
        <w:tc>
          <w:tcPr>
            <w:tcW w:w="2800" w:type="dxa"/>
            <w:shd w:val="clear" w:color="auto" w:fill="1F3864"/>
            <w:tcMar>
              <w:top w:w="70" w:type="dxa"/>
              <w:left w:w="100" w:type="dxa"/>
              <w:bottom w:w="70" w:type="dxa"/>
              <w:right w:w="100" w:type="dxa"/>
            </w:tcMar>
          </w:tcPr>
          <w:p w14:paraId="711DBC64" w14:textId="77777777" w:rsidR="001953FC" w:rsidRPr="001953FC" w:rsidRDefault="001953FC" w:rsidP="001953FC">
            <w:pPr>
              <w:spacing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color w:val="FFFFFF"/>
                <w:kern w:val="0"/>
                <w:sz w:val="20"/>
                <w:szCs w:val="20"/>
                <w:lang w:val="en-VU" w:eastAsia="en-VU"/>
                <w14:ligatures w14:val="none"/>
              </w:rPr>
              <w:t>Shared with stakeholders?</w:t>
            </w:r>
          </w:p>
        </w:tc>
      </w:tr>
      <w:tr w:rsidR="001953FC" w:rsidRPr="001953FC" w14:paraId="74288A15" w14:textId="77777777" w:rsidTr="00A33671">
        <w:tblPrEx>
          <w:tblCellMar>
            <w:top w:w="0" w:type="dxa"/>
            <w:bottom w:w="0" w:type="dxa"/>
          </w:tblCellMar>
        </w:tblPrEx>
        <w:tc>
          <w:tcPr>
            <w:tcW w:w="2400" w:type="dxa"/>
            <w:tcMar>
              <w:top w:w="70" w:type="dxa"/>
              <w:left w:w="100" w:type="dxa"/>
              <w:bottom w:w="70" w:type="dxa"/>
              <w:right w:w="100" w:type="dxa"/>
            </w:tcMar>
          </w:tcPr>
          <w:p w14:paraId="21FE1092"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t>1. Updated TA request and budget</w:t>
            </w:r>
          </w:p>
          <w:p w14:paraId="2ACE6770"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t>(Week 1 · Status: Completed)</w:t>
            </w:r>
          </w:p>
        </w:tc>
        <w:tc>
          <w:tcPr>
            <w:tcW w:w="5160" w:type="dxa"/>
            <w:tcMar>
              <w:top w:w="70" w:type="dxa"/>
              <w:left w:w="100" w:type="dxa"/>
              <w:bottom w:w="70" w:type="dxa"/>
              <w:right w:w="100" w:type="dxa"/>
            </w:tcMar>
          </w:tcPr>
          <w:p w14:paraId="4B630895"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The revised Small Grant Request Form and detailed budget (USD 4,800) were finalised and annexed to the Sub-Award Agreement with APTN, which was signed on 15 May 2026. The budget covers lead and support consultants, stipends for interviewees, connectivity, in-person findings-sharing, and administrative costs, and now serves as the binding work plan (Annex A/B of the agreement).</w:t>
            </w:r>
          </w:p>
        </w:tc>
        <w:tc>
          <w:tcPr>
            <w:tcW w:w="2800" w:type="dxa"/>
            <w:tcMar>
              <w:top w:w="70" w:type="dxa"/>
              <w:left w:w="100" w:type="dxa"/>
              <w:bottom w:w="70" w:type="dxa"/>
              <w:right w:w="100" w:type="dxa"/>
            </w:tcMar>
          </w:tcPr>
          <w:p w14:paraId="314D0E40"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Yes. Shared with APTN / Seven Alliance (contract annex), the PIRMCCM Executive Committee (endorsement request), and the Global Fund country team (Gemma and Sandra), who have confirmed their support.</w:t>
            </w:r>
          </w:p>
        </w:tc>
      </w:tr>
      <w:tr w:rsidR="001953FC" w:rsidRPr="001953FC" w14:paraId="2950BDB4" w14:textId="77777777" w:rsidTr="00A33671">
        <w:tblPrEx>
          <w:tblCellMar>
            <w:top w:w="0" w:type="dxa"/>
            <w:bottom w:w="0" w:type="dxa"/>
          </w:tblCellMar>
        </w:tblPrEx>
        <w:tc>
          <w:tcPr>
            <w:tcW w:w="2400" w:type="dxa"/>
            <w:tcMar>
              <w:top w:w="70" w:type="dxa"/>
              <w:left w:w="100" w:type="dxa"/>
              <w:bottom w:w="70" w:type="dxa"/>
              <w:right w:w="100" w:type="dxa"/>
            </w:tcMar>
          </w:tcPr>
          <w:p w14:paraId="524649DA"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t>2. Inception report</w:t>
            </w:r>
          </w:p>
          <w:p w14:paraId="6D8C24B5"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t>(Week 2 · Status: Completed)</w:t>
            </w:r>
          </w:p>
        </w:tc>
        <w:tc>
          <w:tcPr>
            <w:tcW w:w="5160" w:type="dxa"/>
            <w:tcMar>
              <w:top w:w="70" w:type="dxa"/>
              <w:left w:w="100" w:type="dxa"/>
              <w:bottom w:w="70" w:type="dxa"/>
              <w:right w:w="100" w:type="dxa"/>
            </w:tcMar>
          </w:tcPr>
          <w:p w14:paraId="34691EE7"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A kick-off engagement was convened with the Suva-based PSGDN constituency organisations (FJN+, Rainbow Pride Fiji, TAAG, SAN Fiji) to refine the scope of work, confirm the consultation methodology and participant profile (15–20+ diverse participants), and agree the delivery timeline against the GC8 country submission window of 27 July 2026. The inception summary sets out roles, milestones, and the community-led monitoring framing of the pilot.</w:t>
            </w:r>
          </w:p>
        </w:tc>
        <w:tc>
          <w:tcPr>
            <w:tcW w:w="2800" w:type="dxa"/>
            <w:tcMar>
              <w:top w:w="70" w:type="dxa"/>
              <w:left w:w="100" w:type="dxa"/>
              <w:bottom w:w="70" w:type="dxa"/>
              <w:right w:w="100" w:type="dxa"/>
            </w:tcMar>
          </w:tcPr>
          <w:p w14:paraId="3FD3542B"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Yes. Shared with the APTN project focal point (Seven Alliance) and PSGDN member organisations to inform TA implementation.</w:t>
            </w:r>
          </w:p>
        </w:tc>
      </w:tr>
      <w:tr w:rsidR="001953FC" w:rsidRPr="001953FC" w14:paraId="67119C4A" w14:textId="77777777" w:rsidTr="00A33671">
        <w:tblPrEx>
          <w:tblCellMar>
            <w:top w:w="0" w:type="dxa"/>
            <w:bottom w:w="0" w:type="dxa"/>
          </w:tblCellMar>
        </w:tblPrEx>
        <w:tc>
          <w:tcPr>
            <w:tcW w:w="2400" w:type="dxa"/>
            <w:tcMar>
              <w:top w:w="70" w:type="dxa"/>
              <w:left w:w="100" w:type="dxa"/>
              <w:bottom w:w="70" w:type="dxa"/>
              <w:right w:w="100" w:type="dxa"/>
            </w:tcMar>
          </w:tcPr>
          <w:p w14:paraId="198A7231"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t>3. Rapid review of GC7 grants and programs</w:t>
            </w:r>
          </w:p>
          <w:p w14:paraId="6F4B866F"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t>(Week 2 · Status: Completed)</w:t>
            </w:r>
          </w:p>
        </w:tc>
        <w:tc>
          <w:tcPr>
            <w:tcW w:w="5160" w:type="dxa"/>
            <w:tcMar>
              <w:top w:w="70" w:type="dxa"/>
              <w:left w:w="100" w:type="dxa"/>
              <w:bottom w:w="70" w:type="dxa"/>
              <w:right w:w="100" w:type="dxa"/>
            </w:tcMar>
          </w:tcPr>
          <w:p w14:paraId="3F7138D9"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 xml:space="preserve">A desk review and virtual consultations on GC7 grants and programs were completed, focused on the PSGDN–ASHM capacity-building partnership. The review documents </w:t>
            </w:r>
            <w:proofErr w:type="gramStart"/>
            <w:r w:rsidRPr="001953FC">
              <w:rPr>
                <w:rFonts w:ascii="Century Gothic" w:eastAsia="Calibri" w:hAnsi="Century Gothic" w:cs="Calibri"/>
                <w:kern w:val="0"/>
                <w:sz w:val="19"/>
                <w:szCs w:val="19"/>
                <w:lang w:val="en-VU" w:eastAsia="en-VU"/>
                <w14:ligatures w14:val="none"/>
              </w:rPr>
              <w:t>gains</w:t>
            </w:r>
            <w:proofErr w:type="gramEnd"/>
            <w:r w:rsidRPr="001953FC">
              <w:rPr>
                <w:rFonts w:ascii="Century Gothic" w:eastAsia="Calibri" w:hAnsi="Century Gothic" w:cs="Calibri"/>
                <w:kern w:val="0"/>
                <w:sz w:val="19"/>
                <w:szCs w:val="19"/>
                <w:lang w:val="en-VU" w:eastAsia="en-VU"/>
                <w14:ligatures w14:val="none"/>
              </w:rPr>
              <w:t xml:space="preserve"> in coordination, governance, and advocacy capacity across PSGDN member organisations, and identifies persisting gaps in diversified funding, monitoring and evaluation systems, and Pacific-specific cultural and logistical barriers. Findings were tabled at the meeting with Suva-based PSGDN members on 24 May 2026 and directly informed the consultation agenda.</w:t>
            </w:r>
          </w:p>
        </w:tc>
        <w:tc>
          <w:tcPr>
            <w:tcW w:w="2800" w:type="dxa"/>
            <w:tcMar>
              <w:top w:w="70" w:type="dxa"/>
              <w:left w:w="100" w:type="dxa"/>
              <w:bottom w:w="70" w:type="dxa"/>
              <w:right w:w="100" w:type="dxa"/>
            </w:tcMar>
          </w:tcPr>
          <w:p w14:paraId="759EC5A7"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Yes. Presented to Suva-based PSGDN member organisations (24 May 2026) and available to APTN and the GC8 writing process.</w:t>
            </w:r>
          </w:p>
        </w:tc>
      </w:tr>
      <w:tr w:rsidR="001953FC" w:rsidRPr="001953FC" w14:paraId="49926CAC" w14:textId="77777777" w:rsidTr="00A33671">
        <w:tblPrEx>
          <w:tblCellMar>
            <w:top w:w="0" w:type="dxa"/>
            <w:bottom w:w="0" w:type="dxa"/>
          </w:tblCellMar>
        </w:tblPrEx>
        <w:tc>
          <w:tcPr>
            <w:tcW w:w="2400" w:type="dxa"/>
            <w:tcMar>
              <w:top w:w="70" w:type="dxa"/>
              <w:left w:w="100" w:type="dxa"/>
              <w:bottom w:w="70" w:type="dxa"/>
              <w:right w:w="100" w:type="dxa"/>
            </w:tcMar>
          </w:tcPr>
          <w:p w14:paraId="29A5B034"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t>4. Consultation report, including list of community priorities; stakeholder alignment with Dr Jason Mitchell</w:t>
            </w:r>
          </w:p>
          <w:p w14:paraId="54659541"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t>(Week 3 · Status: Completed / draft finalisation ongoing)</w:t>
            </w:r>
          </w:p>
        </w:tc>
        <w:tc>
          <w:tcPr>
            <w:tcW w:w="5160" w:type="dxa"/>
            <w:tcMar>
              <w:top w:w="70" w:type="dxa"/>
              <w:left w:w="100" w:type="dxa"/>
              <w:bottom w:w="70" w:type="dxa"/>
              <w:right w:w="100" w:type="dxa"/>
            </w:tcMar>
          </w:tcPr>
          <w:p w14:paraId="581BBAB3"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 xml:space="preserve">The GC8 civil society consultation was convened in May 2026, culminating in the </w:t>
            </w:r>
            <w:proofErr w:type="spellStart"/>
            <w:r w:rsidRPr="001953FC">
              <w:rPr>
                <w:rFonts w:ascii="Century Gothic" w:eastAsia="Calibri" w:hAnsi="Century Gothic" w:cs="Calibri"/>
                <w:kern w:val="0"/>
                <w:sz w:val="19"/>
                <w:szCs w:val="19"/>
                <w:lang w:val="en-VU" w:eastAsia="en-VU"/>
                <w14:ligatures w14:val="none"/>
              </w:rPr>
              <w:t>PrEP</w:t>
            </w:r>
            <w:proofErr w:type="spellEnd"/>
            <w:r w:rsidRPr="001953FC">
              <w:rPr>
                <w:rFonts w:ascii="Century Gothic" w:eastAsia="Calibri" w:hAnsi="Century Gothic" w:cs="Calibri"/>
                <w:kern w:val="0"/>
                <w:sz w:val="19"/>
                <w:szCs w:val="19"/>
                <w:lang w:val="en-VU" w:eastAsia="en-VU"/>
                <w14:ligatures w14:val="none"/>
              </w:rPr>
              <w:t xml:space="preserve"> Community Stream Meeting on 26 May 2026 in Suva with MOHMS, UNAIDS, WHO, UNDP, UNSW, and CSO partners. The draft consultation report, "CSO Voices for the Final Mile," documents community barriers to </w:t>
            </w:r>
            <w:proofErr w:type="spellStart"/>
            <w:r w:rsidRPr="001953FC">
              <w:rPr>
                <w:rFonts w:ascii="Century Gothic" w:eastAsia="Calibri" w:hAnsi="Century Gothic" w:cs="Calibri"/>
                <w:kern w:val="0"/>
                <w:sz w:val="19"/>
                <w:szCs w:val="19"/>
                <w:lang w:val="en-VU" w:eastAsia="en-VU"/>
                <w14:ligatures w14:val="none"/>
              </w:rPr>
              <w:t>PrEP</w:t>
            </w:r>
            <w:proofErr w:type="spellEnd"/>
            <w:r w:rsidRPr="001953FC">
              <w:rPr>
                <w:rFonts w:ascii="Century Gothic" w:eastAsia="Calibri" w:hAnsi="Century Gothic" w:cs="Calibri"/>
                <w:kern w:val="0"/>
                <w:sz w:val="19"/>
                <w:szCs w:val="19"/>
                <w:lang w:val="en-VU" w:eastAsia="en-VU"/>
                <w14:ligatures w14:val="none"/>
              </w:rPr>
              <w:t xml:space="preserve"> access, demand-generation strategies, a prioritised community investment agenda across five key population groups, multi-country findings (Samoa, Vanuatu, Tuvalu, and data gaps for Tonga and Kiribati), Fiji’s LTFU/late-presentation crisis, an agreed action plan, and six formal commitments sought from PIRMCCM and the Global Fund, including LEN readiness. A virtual stakeholder-alignment discussion with Dr Jason Mitchell (HIV Program Director, Fiji) was undertaken to agree deliverables and process with the government-led GC8 workstream.</w:t>
            </w:r>
          </w:p>
        </w:tc>
        <w:tc>
          <w:tcPr>
            <w:tcW w:w="2800" w:type="dxa"/>
            <w:tcMar>
              <w:top w:w="70" w:type="dxa"/>
              <w:left w:w="100" w:type="dxa"/>
              <w:bottom w:w="70" w:type="dxa"/>
              <w:right w:w="100" w:type="dxa"/>
            </w:tcMar>
          </w:tcPr>
          <w:p w14:paraId="3AD647EF"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 xml:space="preserve">Yes. Presented to PIRMCCM and shared with MOHMS, UNAIDS, WHO, UNDP, UNSW, and participating </w:t>
            </w:r>
            <w:proofErr w:type="spellStart"/>
            <w:r w:rsidRPr="001953FC">
              <w:rPr>
                <w:rFonts w:ascii="Century Gothic" w:eastAsia="Calibri" w:hAnsi="Century Gothic" w:cs="Calibri"/>
                <w:kern w:val="0"/>
                <w:sz w:val="19"/>
                <w:szCs w:val="19"/>
                <w:lang w:val="en-VU" w:eastAsia="en-VU"/>
                <w14:ligatures w14:val="none"/>
              </w:rPr>
              <w:t>CSOs</w:t>
            </w:r>
            <w:proofErr w:type="spellEnd"/>
            <w:r w:rsidRPr="001953FC">
              <w:rPr>
                <w:rFonts w:ascii="Century Gothic" w:eastAsia="Calibri" w:hAnsi="Century Gothic" w:cs="Calibri"/>
                <w:kern w:val="0"/>
                <w:sz w:val="19"/>
                <w:szCs w:val="19"/>
                <w:lang w:val="en-VU" w:eastAsia="en-VU"/>
                <w14:ligatures w14:val="none"/>
              </w:rPr>
              <w:t>. The updated version incorporating the 26 May Community Stream minutes was circulated for validation in June 2026.</w:t>
            </w:r>
          </w:p>
        </w:tc>
      </w:tr>
      <w:tr w:rsidR="001953FC" w:rsidRPr="001953FC" w14:paraId="3BF85E9D" w14:textId="77777777" w:rsidTr="00A33671">
        <w:tblPrEx>
          <w:tblCellMar>
            <w:top w:w="0" w:type="dxa"/>
            <w:bottom w:w="0" w:type="dxa"/>
          </w:tblCellMar>
        </w:tblPrEx>
        <w:tc>
          <w:tcPr>
            <w:tcW w:w="2400" w:type="dxa"/>
            <w:tcMar>
              <w:top w:w="70" w:type="dxa"/>
              <w:left w:w="100" w:type="dxa"/>
              <w:bottom w:w="70" w:type="dxa"/>
              <w:right w:w="100" w:type="dxa"/>
            </w:tcMar>
          </w:tcPr>
          <w:p w14:paraId="115FDBF4"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lastRenderedPageBreak/>
              <w:t>5. Review and comments on grant-making documents</w:t>
            </w:r>
          </w:p>
          <w:p w14:paraId="2585CE79"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t>(Week 3 · Status: Initiated, ongoing)</w:t>
            </w:r>
          </w:p>
        </w:tc>
        <w:tc>
          <w:tcPr>
            <w:tcW w:w="5160" w:type="dxa"/>
            <w:tcMar>
              <w:top w:w="70" w:type="dxa"/>
              <w:left w:w="100" w:type="dxa"/>
              <w:bottom w:w="70" w:type="dxa"/>
              <w:right w:w="100" w:type="dxa"/>
            </w:tcMar>
          </w:tcPr>
          <w:p w14:paraId="194EBF97"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 xml:space="preserve">Review of GC8 grant-making documents commenced in late May, drawing on the consultation outcomes. Consolidated CSO comments centre on preserving dedicated SR/sub-SR pathways for </w:t>
            </w:r>
            <w:proofErr w:type="spellStart"/>
            <w:r w:rsidRPr="001953FC">
              <w:rPr>
                <w:rFonts w:ascii="Century Gothic" w:eastAsia="Calibri" w:hAnsi="Century Gothic" w:cs="Calibri"/>
                <w:kern w:val="0"/>
                <w:sz w:val="19"/>
                <w:szCs w:val="19"/>
                <w:lang w:val="en-VU" w:eastAsia="en-VU"/>
                <w14:ligatures w14:val="none"/>
              </w:rPr>
              <w:t>CSOs</w:t>
            </w:r>
            <w:proofErr w:type="spellEnd"/>
            <w:r w:rsidRPr="001953FC">
              <w:rPr>
                <w:rFonts w:ascii="Century Gothic" w:eastAsia="Calibri" w:hAnsi="Century Gothic" w:cs="Calibri"/>
                <w:kern w:val="0"/>
                <w:sz w:val="19"/>
                <w:szCs w:val="19"/>
                <w:lang w:val="en-VU" w:eastAsia="en-VU"/>
                <w14:ligatures w14:val="none"/>
              </w:rPr>
              <w:t>, ring-fenced community budget lines, inclusion of seafarers and persons with disabilities, LTFU/retention investment, and naming Lenacapavir readiness as a GC8 investment area. Comments will continue to be fed into the funding request through the 27 July 2026 submission window.</w:t>
            </w:r>
          </w:p>
        </w:tc>
        <w:tc>
          <w:tcPr>
            <w:tcW w:w="2800" w:type="dxa"/>
            <w:tcMar>
              <w:top w:w="70" w:type="dxa"/>
              <w:left w:w="100" w:type="dxa"/>
              <w:bottom w:w="70" w:type="dxa"/>
              <w:right w:w="100" w:type="dxa"/>
            </w:tcMar>
          </w:tcPr>
          <w:p w14:paraId="7D18D034"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Partially. Initial comments shared with the PIRMCCM civil society delegation and the GC8 writing team; further rounds will follow as documents are released.</w:t>
            </w:r>
          </w:p>
        </w:tc>
      </w:tr>
      <w:tr w:rsidR="001953FC" w:rsidRPr="001953FC" w14:paraId="1F88C170" w14:textId="77777777" w:rsidTr="00A33671">
        <w:tblPrEx>
          <w:tblCellMar>
            <w:top w:w="0" w:type="dxa"/>
            <w:bottom w:w="0" w:type="dxa"/>
          </w:tblCellMar>
        </w:tblPrEx>
        <w:tc>
          <w:tcPr>
            <w:tcW w:w="2400" w:type="dxa"/>
            <w:tcMar>
              <w:top w:w="70" w:type="dxa"/>
              <w:left w:w="100" w:type="dxa"/>
              <w:bottom w:w="70" w:type="dxa"/>
              <w:right w:w="100" w:type="dxa"/>
            </w:tcMar>
          </w:tcPr>
          <w:p w14:paraId="42529376"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t>6. Briefing slides for communities on final grant-making outcome</w:t>
            </w:r>
          </w:p>
          <w:p w14:paraId="74EFFB51"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b/>
                <w:bCs/>
                <w:kern w:val="0"/>
                <w:sz w:val="19"/>
                <w:szCs w:val="19"/>
                <w:lang w:val="en-VU" w:eastAsia="en-VU"/>
                <w14:ligatures w14:val="none"/>
              </w:rPr>
              <w:t>(Week 8 · Status: Not yet due — on track)</w:t>
            </w:r>
          </w:p>
        </w:tc>
        <w:tc>
          <w:tcPr>
            <w:tcW w:w="5160" w:type="dxa"/>
            <w:tcMar>
              <w:top w:w="70" w:type="dxa"/>
              <w:left w:w="100" w:type="dxa"/>
              <w:bottom w:w="70" w:type="dxa"/>
              <w:right w:w="100" w:type="dxa"/>
            </w:tcMar>
          </w:tcPr>
          <w:p w14:paraId="35895062"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Scheduled for delivery by 25 July 2026, after grant-making outcomes are known. The briefing will summarise the modules, interventions, and budgets included in the final grant(s) for community audiences, building on the consultation report and community priorities.</w:t>
            </w:r>
          </w:p>
        </w:tc>
        <w:tc>
          <w:tcPr>
            <w:tcW w:w="2800" w:type="dxa"/>
            <w:tcMar>
              <w:top w:w="70" w:type="dxa"/>
              <w:left w:w="100" w:type="dxa"/>
              <w:bottom w:w="70" w:type="dxa"/>
              <w:right w:w="100" w:type="dxa"/>
            </w:tcMar>
          </w:tcPr>
          <w:p w14:paraId="6FDD801D" w14:textId="77777777" w:rsidR="001953FC" w:rsidRPr="001953FC" w:rsidRDefault="001953FC" w:rsidP="001953FC">
            <w:pPr>
              <w:spacing w:after="4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kern w:val="0"/>
                <w:sz w:val="19"/>
                <w:szCs w:val="19"/>
                <w:lang w:val="en-VU" w:eastAsia="en-VU"/>
                <w14:ligatures w14:val="none"/>
              </w:rPr>
              <w:t>Not yet. Will be shared with PSGDN member organisations, participating communities, and APTN upon completion in July 2026.</w:t>
            </w:r>
          </w:p>
        </w:tc>
      </w:tr>
    </w:tbl>
    <w:p w14:paraId="5C71A48D" w14:textId="77777777" w:rsidR="001953FC" w:rsidRPr="001953FC" w:rsidRDefault="001953FC" w:rsidP="001953FC">
      <w:pPr>
        <w:spacing w:before="120" w:after="0" w:line="240" w:lineRule="auto"/>
        <w:rPr>
          <w:rFonts w:ascii="Century Gothic" w:eastAsia="Calibri" w:hAnsi="Century Gothic" w:cs="Calibri"/>
          <w:kern w:val="0"/>
          <w:sz w:val="21"/>
          <w:szCs w:val="21"/>
          <w:lang w:val="en-VU" w:eastAsia="en-VU"/>
          <w14:ligatures w14:val="none"/>
        </w:rPr>
      </w:pPr>
      <w:r w:rsidRPr="001953FC">
        <w:rPr>
          <w:rFonts w:ascii="Century Gothic" w:eastAsia="Calibri" w:hAnsi="Century Gothic" w:cs="Calibri"/>
          <w:i/>
          <w:iCs/>
          <w:kern w:val="0"/>
          <w:sz w:val="19"/>
          <w:szCs w:val="19"/>
          <w:lang w:val="en-VU" w:eastAsia="en-VU"/>
          <w14:ligatures w14:val="none"/>
        </w:rPr>
        <w:t>Overall status: Deliverables 1–4 completed within May 2026 as scheduled; Deliverable 5 initiated and ongoing through the GC8 submission window; Deliverable 6 on track for delivery by 25 July 2026. All completed outputs have been shared with the relevant stakeholders as detailed above, and the final narrative and financial report will consolidate them at project close (31 July 2026).</w:t>
      </w:r>
    </w:p>
    <w:p w14:paraId="415E12CB" w14:textId="77777777" w:rsidR="00E4407D" w:rsidRDefault="00E4407D"/>
    <w:sectPr w:rsidR="00E4407D" w:rsidSect="001953FC">
      <w:pgSz w:w="12240" w:h="15840"/>
      <w:pgMar w:top="940" w:right="940" w:bottom="940" w:left="9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5636F"/>
    <w:multiLevelType w:val="hybridMultilevel"/>
    <w:tmpl w:val="E206C58E"/>
    <w:lvl w:ilvl="0" w:tplc="8C76FAF0">
      <w:start w:val="1"/>
      <w:numFmt w:val="bullet"/>
      <w:lvlText w:val="•"/>
      <w:lvlJc w:val="left"/>
      <w:pPr>
        <w:ind w:left="360" w:hanging="200"/>
      </w:pPr>
    </w:lvl>
    <w:lvl w:ilvl="1" w:tplc="4CC81FDC">
      <w:numFmt w:val="decimal"/>
      <w:lvlText w:val=""/>
      <w:lvlJc w:val="left"/>
    </w:lvl>
    <w:lvl w:ilvl="2" w:tplc="AE7C37DE">
      <w:numFmt w:val="decimal"/>
      <w:lvlText w:val=""/>
      <w:lvlJc w:val="left"/>
    </w:lvl>
    <w:lvl w:ilvl="3" w:tplc="90BCE314">
      <w:numFmt w:val="decimal"/>
      <w:lvlText w:val=""/>
      <w:lvlJc w:val="left"/>
    </w:lvl>
    <w:lvl w:ilvl="4" w:tplc="FD4A9EBE">
      <w:numFmt w:val="decimal"/>
      <w:lvlText w:val=""/>
      <w:lvlJc w:val="left"/>
    </w:lvl>
    <w:lvl w:ilvl="5" w:tplc="76B09E04">
      <w:numFmt w:val="decimal"/>
      <w:lvlText w:val=""/>
      <w:lvlJc w:val="left"/>
    </w:lvl>
    <w:lvl w:ilvl="6" w:tplc="7D9680BE">
      <w:numFmt w:val="decimal"/>
      <w:lvlText w:val=""/>
      <w:lvlJc w:val="left"/>
    </w:lvl>
    <w:lvl w:ilvl="7" w:tplc="7188D880">
      <w:numFmt w:val="decimal"/>
      <w:lvlText w:val=""/>
      <w:lvlJc w:val="left"/>
    </w:lvl>
    <w:lvl w:ilvl="8" w:tplc="4E5EFCC0">
      <w:numFmt w:val="decimal"/>
      <w:lvlText w:val=""/>
      <w:lvlJc w:val="left"/>
    </w:lvl>
  </w:abstractNum>
  <w:num w:numId="1" w16cid:durableId="14948763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3FC"/>
    <w:rsid w:val="001953FC"/>
    <w:rsid w:val="00395A6C"/>
    <w:rsid w:val="007775DC"/>
    <w:rsid w:val="00E4407D"/>
  </w:rsids>
  <m:mathPr>
    <m:mathFont m:val="Cambria Math"/>
    <m:brkBin m:val="before"/>
    <m:brkBinSub m:val="--"/>
    <m:smallFrac m:val="0"/>
    <m:dispDef/>
    <m:lMargin m:val="0"/>
    <m:rMargin m:val="0"/>
    <m:defJc m:val="centerGroup"/>
    <m:wrapIndent m:val="1440"/>
    <m:intLim m:val="subSup"/>
    <m:naryLim m:val="undOvr"/>
  </m:mathPr>
  <w:themeFontLang w:val="en-V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C7575"/>
  <w15:chartTrackingRefBased/>
  <w15:docId w15:val="{56583625-E675-4646-8F1A-D45FAD879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3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3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3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3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3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3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3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3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3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3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3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3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3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3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3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3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3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3FC"/>
    <w:rPr>
      <w:rFonts w:eastAsiaTheme="majorEastAsia" w:cstheme="majorBidi"/>
      <w:color w:val="272727" w:themeColor="text1" w:themeTint="D8"/>
    </w:rPr>
  </w:style>
  <w:style w:type="paragraph" w:styleId="Title">
    <w:name w:val="Title"/>
    <w:basedOn w:val="Normal"/>
    <w:next w:val="Normal"/>
    <w:link w:val="TitleChar"/>
    <w:uiPriority w:val="10"/>
    <w:qFormat/>
    <w:rsid w:val="00195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3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3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3FC"/>
    <w:pPr>
      <w:spacing w:before="160"/>
      <w:jc w:val="center"/>
    </w:pPr>
    <w:rPr>
      <w:i/>
      <w:iCs/>
      <w:color w:val="404040" w:themeColor="text1" w:themeTint="BF"/>
    </w:rPr>
  </w:style>
  <w:style w:type="character" w:customStyle="1" w:styleId="QuoteChar">
    <w:name w:val="Quote Char"/>
    <w:basedOn w:val="DefaultParagraphFont"/>
    <w:link w:val="Quote"/>
    <w:uiPriority w:val="29"/>
    <w:rsid w:val="001953FC"/>
    <w:rPr>
      <w:i/>
      <w:iCs/>
      <w:color w:val="404040" w:themeColor="text1" w:themeTint="BF"/>
    </w:rPr>
  </w:style>
  <w:style w:type="paragraph" w:styleId="ListParagraph">
    <w:name w:val="List Paragraph"/>
    <w:basedOn w:val="Normal"/>
    <w:uiPriority w:val="34"/>
    <w:qFormat/>
    <w:rsid w:val="001953FC"/>
    <w:pPr>
      <w:ind w:left="720"/>
      <w:contextualSpacing/>
    </w:pPr>
  </w:style>
  <w:style w:type="character" w:styleId="IntenseEmphasis">
    <w:name w:val="Intense Emphasis"/>
    <w:basedOn w:val="DefaultParagraphFont"/>
    <w:uiPriority w:val="21"/>
    <w:qFormat/>
    <w:rsid w:val="001953FC"/>
    <w:rPr>
      <w:i/>
      <w:iCs/>
      <w:color w:val="0F4761" w:themeColor="accent1" w:themeShade="BF"/>
    </w:rPr>
  </w:style>
  <w:style w:type="paragraph" w:styleId="IntenseQuote">
    <w:name w:val="Intense Quote"/>
    <w:basedOn w:val="Normal"/>
    <w:next w:val="Normal"/>
    <w:link w:val="IntenseQuoteChar"/>
    <w:uiPriority w:val="30"/>
    <w:qFormat/>
    <w:rsid w:val="001953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3FC"/>
    <w:rPr>
      <w:i/>
      <w:iCs/>
      <w:color w:val="0F4761" w:themeColor="accent1" w:themeShade="BF"/>
    </w:rPr>
  </w:style>
  <w:style w:type="character" w:styleId="IntenseReference">
    <w:name w:val="Intense Reference"/>
    <w:basedOn w:val="DefaultParagraphFont"/>
    <w:uiPriority w:val="32"/>
    <w:qFormat/>
    <w:rsid w:val="001953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1757</Words>
  <Characters>10016</Characters>
  <Application>Microsoft Office Word</Application>
  <DocSecurity>0</DocSecurity>
  <Lines>83</Lines>
  <Paragraphs>23</Paragraphs>
  <ScaleCrop>false</ScaleCrop>
  <Company/>
  <LinksUpToDate>false</LinksUpToDate>
  <CharactersWithSpaces>11750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Gigi Baxter</dc:creator>
  <cp:keywords/>
  <dc:description/>
  <cp:lastModifiedBy>Gigi Baxter</cp:lastModifiedBy>
  <cp:revision>1</cp:revision>
  <dcterms:created xsi:type="dcterms:W3CDTF">2026-08-14T02:13:00Z</dcterms:created>
  <dcterms:modified xsi:type="dcterms:W3CDTF">2026-08-14T02:19:00Z</dcterms:modified>
</cp:coreProperties>
</file>